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14" w:rsidRDefault="005D3214" w:rsidP="00090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Список новых поступлений по экономике</w:t>
      </w:r>
    </w:p>
    <w:p w:rsidR="005D3214" w:rsidRDefault="005D3214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1.   </w:t>
      </w:r>
      <w:r w:rsidR="005D3214">
        <w:rPr>
          <w:rFonts w:ascii="Times New Roman" w:hAnsi="Times New Roman" w:cs="Times New Roman"/>
          <w:sz w:val="24"/>
          <w:szCs w:val="24"/>
        </w:rPr>
        <w:t>ИТ</w:t>
      </w:r>
      <w:r w:rsidRPr="005D3214">
        <w:rPr>
          <w:rFonts w:ascii="Times New Roman" w:hAnsi="Times New Roman" w:cs="Times New Roman"/>
          <w:sz w:val="24"/>
          <w:szCs w:val="24"/>
        </w:rPr>
        <w:t xml:space="preserve"> задают тон в развитии экономики [Ульяновская область] // Бюджет. – 2016. – № 12. – С. 52-54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Информационные технологии в Ульяновской области развиваются успешнее, чем в среднем по России. Свидетельством тому служит активность ИТ-компаний в регионе. Здесь прописались ведущие веб-студии</w:t>
      </w:r>
      <w:r w:rsidR="005D321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 xml:space="preserve"> и интернет-агентства, крупные софтверные компании, раработчики мобильных приложений и облачных сервисов.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2. Агафонов, В. А.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Стратегия инновационного развития региона / В. А. Агафонов // Финансы и Кредит. – 2016. – № 45. – С. 42-60 –</w:t>
      </w:r>
      <w:r w:rsidR="005D3214">
        <w:rPr>
          <w:rFonts w:ascii="Times New Roman" w:hAnsi="Times New Roman" w:cs="Times New Roman"/>
          <w:sz w:val="24"/>
          <w:szCs w:val="24"/>
        </w:rPr>
        <w:t xml:space="preserve"> Кадры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3. Акинин, П. В.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Концептуальные аспекты диверсификации российского фондового рынка в современных геополитических условиях / П. В. Акинин, Ю. О. </w:t>
      </w:r>
      <w:proofErr w:type="spellStart"/>
      <w:r w:rsidRPr="005D3214">
        <w:rPr>
          <w:rFonts w:ascii="Times New Roman" w:hAnsi="Times New Roman" w:cs="Times New Roman"/>
          <w:sz w:val="24"/>
          <w:szCs w:val="24"/>
        </w:rPr>
        <w:t>Болдарева</w:t>
      </w:r>
      <w:proofErr w:type="spellEnd"/>
      <w:r w:rsidRPr="005D3214">
        <w:rPr>
          <w:rFonts w:ascii="Times New Roman" w:hAnsi="Times New Roman" w:cs="Times New Roman"/>
          <w:sz w:val="24"/>
          <w:szCs w:val="24"/>
        </w:rPr>
        <w:t xml:space="preserve"> // Финансы и Кредит. – 2016. – № 45. – С. 2-19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4. Бруславская, Ю. В.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На пути к </w:t>
      </w:r>
      <w:r w:rsidR="005D321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>"Электронному бюджету": опыт Москвы / Ю. В. Бруславская // Бюджет. – 2016. – № 12. – С. 48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– Электронный бюджет – Управление – Информационные технологии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5. Волкомурова, Е. А.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Как повысить самостоятельность муниципалитетов [Сыктывкар] / Е. А. Волкомурова // Бюджет. – 2016. – № 12. – С. 69-71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6. Исаев, Э. А.</w:t>
      </w:r>
    </w:p>
    <w:p w:rsidR="00090430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Внешний контроль качества работы аудиторских организаций: проблемы и перспективы развития / Э. А. Исаев // Бюджет. – 2016. – № 12. – С. 55-57</w:t>
      </w:r>
    </w:p>
    <w:p w:rsidR="00BD0C9E" w:rsidRPr="005D3214" w:rsidRDefault="00BD0C9E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lastRenderedPageBreak/>
        <w:t>7. Карлин, А. Б.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Воспользоваться шансом на развитие [Алтайский край] / А. Б. Карлин; [беседовала] С. А. Стрельникова // Бюджет. – 2016. – № 12. – С. 25-27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О предварительных итогах 2016 года и планах на ближайшую перспективу рассказывает губернатор Алтайского края А. Б. Карлин.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8. Королева, Л. П.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Основные направления налогового стимулирования импортозамещения в контексте неоиндустриального развития экономики / Л. П. Королева // Финансы и Кредит. – 2016. – № 46. – С. 2-15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9. Мартыненко, С. В.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Город высоких технологий / Ю. В. Бруславская // Бюджет. – 2016. – № 12. – С. 48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Высокотехнологичный город</w:t>
      </w:r>
      <w:r w:rsidR="00BD0C9E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 xml:space="preserve"> Иннополис в Татарстане, первый город, построенный в России после распада СССР.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10. Старков, А. С.</w:t>
      </w:r>
    </w:p>
    <w:p w:rsidR="00090430" w:rsidRPr="005D3214" w:rsidRDefault="00090430" w:rsidP="00090430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Автоматизация управления бюджетом в Свердловской области / А. С. Старков, И. В. Крупин // Бюджет. – 2016. – № 12. – С. 46-47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D3214" w:rsidRPr="005D3214">
        <w:rPr>
          <w:rFonts w:ascii="Times New Roman" w:hAnsi="Times New Roman" w:cs="Times New Roman"/>
          <w:sz w:val="24"/>
          <w:szCs w:val="24"/>
        </w:rPr>
        <w:t>. Жуков, С.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США: финансовые рынки и развитие сектора неконвенциальной нефти / С. Жуков, С. Золина // Мировая экономика и международные отношения. – 2016. – № 11. – С. 14-24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– Сланцевая революция</w:t>
      </w:r>
      <w:r w:rsidR="00E23C8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>– Нефтедобыча – Статистические показатели – 2008-2014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D3214" w:rsidRPr="005D3214">
        <w:rPr>
          <w:rFonts w:ascii="Times New Roman" w:hAnsi="Times New Roman" w:cs="Times New Roman"/>
          <w:sz w:val="24"/>
          <w:szCs w:val="24"/>
        </w:rPr>
        <w:t>. Ивкин, Е.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"Проблемные кредиты": как банкам вернуть максимум от выданных средств? / Е. Ивкин // Банковское дело. – 2016. – № 12. – С. 32-34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В статье анализируются различные формы работы с заемщиками, позволяющие снизить риск невозвратов кредитов банку.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3C84" w:rsidRDefault="00E23C8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5D3214" w:rsidRPr="005D3214">
        <w:rPr>
          <w:rFonts w:ascii="Times New Roman" w:hAnsi="Times New Roman" w:cs="Times New Roman"/>
          <w:sz w:val="24"/>
          <w:szCs w:val="24"/>
        </w:rPr>
        <w:t>. Казаринов, И.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Исламские финансовые инструменты: некоторые особенности, правовые аспекты и перспективы</w:t>
      </w:r>
      <w:r w:rsidR="00E23C8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 xml:space="preserve"> развития в России / И. Казаринов // Страховое дело. – 2016. – № 11. – С. 51-55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D3214" w:rsidRPr="005D3214">
        <w:rPr>
          <w:rFonts w:ascii="Times New Roman" w:hAnsi="Times New Roman" w:cs="Times New Roman"/>
          <w:sz w:val="24"/>
          <w:szCs w:val="24"/>
        </w:rPr>
        <w:t>. Низова, Л.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Генезис пенсионного страхования в Российской Федерации / Л. Низова, М. Данилова // Страховое дело. – 2016. – № 11. – С. 56-55</w:t>
      </w:r>
    </w:p>
    <w:p w:rsid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– Пенсионные фонды – Перспективы развити</w:t>
      </w:r>
      <w:r w:rsidR="00E23C84">
        <w:rPr>
          <w:rFonts w:ascii="Times New Roman" w:hAnsi="Times New Roman" w:cs="Times New Roman"/>
          <w:sz w:val="24"/>
          <w:szCs w:val="24"/>
        </w:rPr>
        <w:t>я – Российская Федерация – СССР</w:t>
      </w: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C8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D3214" w:rsidRPr="005D3214">
        <w:rPr>
          <w:rFonts w:ascii="Times New Roman" w:hAnsi="Times New Roman" w:cs="Times New Roman"/>
          <w:sz w:val="24"/>
          <w:szCs w:val="24"/>
        </w:rPr>
        <w:t>. Савельев, О.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Антидемпинговые меры против российских экспортёров: возможности устранения / О. Савельев, З. Хетагурова // Мировая экономика и международные отношения. – 2016. – № 11. – С. 25-34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D3214" w:rsidRPr="005D3214">
        <w:rPr>
          <w:rFonts w:ascii="Times New Roman" w:hAnsi="Times New Roman" w:cs="Times New Roman"/>
          <w:sz w:val="24"/>
          <w:szCs w:val="24"/>
        </w:rPr>
        <w:t>. Судакова, Н.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Партнёрство университетов и бизнеса как важный фактор научно-технологического лидерства США / Н. А. Судакова // США. Канада. Экономика - политика - культура. – 2016. – № 12. – С. 91-109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1</w:t>
      </w:r>
      <w:r w:rsidR="00E23C84">
        <w:rPr>
          <w:rFonts w:ascii="Times New Roman" w:hAnsi="Times New Roman" w:cs="Times New Roman"/>
          <w:sz w:val="24"/>
          <w:szCs w:val="24"/>
        </w:rPr>
        <w:t>7</w:t>
      </w:r>
      <w:r w:rsidRPr="005D3214">
        <w:rPr>
          <w:rFonts w:ascii="Times New Roman" w:hAnsi="Times New Roman" w:cs="Times New Roman"/>
          <w:sz w:val="24"/>
          <w:szCs w:val="24"/>
        </w:rPr>
        <w:t>. Тавасиев, А. М.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Госбанки и банки с государственным участием в капитале - необходимы / А. М. Тавасиев // Банковское дело. – 2016. – № 12. – С. 42-45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1</w:t>
      </w:r>
      <w:r w:rsidR="00E23C84">
        <w:rPr>
          <w:rFonts w:ascii="Times New Roman" w:hAnsi="Times New Roman" w:cs="Times New Roman"/>
          <w:sz w:val="24"/>
          <w:szCs w:val="24"/>
        </w:rPr>
        <w:t>8</w:t>
      </w:r>
      <w:r w:rsidRPr="005D3214">
        <w:rPr>
          <w:rFonts w:ascii="Times New Roman" w:hAnsi="Times New Roman" w:cs="Times New Roman"/>
          <w:sz w:val="24"/>
          <w:szCs w:val="24"/>
        </w:rPr>
        <w:t>. Швецов, Ю. Г.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О проблеме депозитных и электронных денег / Ю. Г. Швецов, А. А. </w:t>
      </w:r>
      <w:proofErr w:type="spellStart"/>
      <w:r w:rsidRPr="005D3214">
        <w:rPr>
          <w:rFonts w:ascii="Times New Roman" w:hAnsi="Times New Roman" w:cs="Times New Roman"/>
          <w:sz w:val="24"/>
          <w:szCs w:val="24"/>
        </w:rPr>
        <w:t>Мартенс</w:t>
      </w:r>
      <w:proofErr w:type="spellEnd"/>
      <w:r w:rsidRPr="005D3214">
        <w:rPr>
          <w:rFonts w:ascii="Times New Roman" w:hAnsi="Times New Roman" w:cs="Times New Roman"/>
          <w:sz w:val="24"/>
          <w:szCs w:val="24"/>
        </w:rPr>
        <w:t xml:space="preserve"> // Банковское дело. – 2016. – № 12. – С. 57-60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Статья посвящена новым формам современных денег.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Деньги – Безналичные расчеты – Розничные операции</w:t>
      </w:r>
    </w:p>
    <w:p w:rsid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E23C84" w:rsidRDefault="00E23C84" w:rsidP="005D3214">
      <w:pPr>
        <w:rPr>
          <w:rFonts w:ascii="Times New Roman" w:hAnsi="Times New Roman" w:cs="Times New Roman"/>
          <w:sz w:val="24"/>
          <w:szCs w:val="24"/>
        </w:rPr>
      </w:pPr>
    </w:p>
    <w:p w:rsidR="00E23C8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23C84">
        <w:rPr>
          <w:rFonts w:ascii="Times New Roman" w:hAnsi="Times New Roman" w:cs="Times New Roman"/>
          <w:sz w:val="24"/>
          <w:szCs w:val="24"/>
        </w:rPr>
        <w:t>9</w:t>
      </w:r>
      <w:r w:rsidRPr="005D3214">
        <w:rPr>
          <w:rFonts w:ascii="Times New Roman" w:hAnsi="Times New Roman" w:cs="Times New Roman"/>
          <w:sz w:val="24"/>
          <w:szCs w:val="24"/>
        </w:rPr>
        <w:t>. Юлдашев, Р.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Роль кэптивных страховых компаний в развитии российского рынка страхования жизни / Р. Юлдашев, Т. Одинокова // Страховое дело. – 2016. – № 11. – С. 20-30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Финансово-промышленные группы – Слияния к</w:t>
      </w:r>
      <w:r w:rsidR="00E23C84">
        <w:rPr>
          <w:rFonts w:ascii="Times New Roman" w:hAnsi="Times New Roman" w:cs="Times New Roman"/>
          <w:sz w:val="24"/>
          <w:szCs w:val="24"/>
        </w:rPr>
        <w:t xml:space="preserve">омпаний – Поглощения компаний </w:t>
      </w:r>
    </w:p>
    <w:p w:rsid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D3214" w:rsidRPr="005D3214">
        <w:rPr>
          <w:rFonts w:ascii="Times New Roman" w:hAnsi="Times New Roman" w:cs="Times New Roman"/>
          <w:sz w:val="24"/>
          <w:szCs w:val="24"/>
        </w:rPr>
        <w:t>. Яковлев, П. П.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Политико-экономическое наследие Б. Обамы: европейский взгляд / П. П. Яковлев // США. Канада. Экономика - политика - культура. – 2016. – № 12. – С. 110-119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Автор анализирует ключевые положения, изложенные известным испанским политологом Висенте</w:t>
      </w:r>
      <w:r w:rsidR="00BD0C9E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 xml:space="preserve"> Паласио в его новой книге "После Обамы. Соединённые Штаты на ничейной земле". Паласио подводит итоги двух сроков президентства Б. Обамы, даёт оценку экономическим и политическим результатам деятельности его администраций, размышляет о месте США в современном мире и их роли в глобальной экономике и международной политике.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3214" w:rsidRPr="005D3214">
        <w:rPr>
          <w:rFonts w:ascii="Times New Roman" w:hAnsi="Times New Roman" w:cs="Times New Roman"/>
          <w:sz w:val="24"/>
          <w:szCs w:val="24"/>
        </w:rPr>
        <w:t>1. Аксенов, С.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На экономику Крыма санкции особо не влияют / С. Аксенов; [беседовал] А. Мащенко // Российская Федерация сегодня. – 2017. – № 1. – С. 10-13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За три года на полуострове сделано больше, чем за предыдущие четверть века, считает глава республики Сергей Аксенов.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E23C8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3214" w:rsidRPr="005D3214">
        <w:rPr>
          <w:rFonts w:ascii="Times New Roman" w:hAnsi="Times New Roman" w:cs="Times New Roman"/>
          <w:sz w:val="24"/>
          <w:szCs w:val="24"/>
        </w:rPr>
        <w:t>2. Плышевский, Б. П.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Развитие бывших советских республик в условиях рынка: экономико-статистический обзор / Б. П. Плышевский // Вопросы статистики. – 2016. – № 12. – С. 75-86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– Статистические показатели –</w:t>
      </w:r>
      <w:r w:rsidR="00E23C8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>Статистический анализ</w:t>
      </w:r>
      <w:r w:rsidR="00E23C84">
        <w:rPr>
          <w:rFonts w:ascii="Times New Roman" w:hAnsi="Times New Roman" w:cs="Times New Roman"/>
          <w:sz w:val="24"/>
          <w:szCs w:val="24"/>
        </w:rPr>
        <w:t xml:space="preserve"> за</w:t>
      </w:r>
      <w:r w:rsidRPr="005D3214">
        <w:rPr>
          <w:rFonts w:ascii="Times New Roman" w:hAnsi="Times New Roman" w:cs="Times New Roman"/>
          <w:sz w:val="24"/>
          <w:szCs w:val="24"/>
        </w:rPr>
        <w:t xml:space="preserve"> 1990-2015 </w:t>
      </w:r>
      <w:r w:rsidR="00E23C84">
        <w:rPr>
          <w:rFonts w:ascii="Times New Roman" w:hAnsi="Times New Roman" w:cs="Times New Roman"/>
          <w:sz w:val="24"/>
          <w:szCs w:val="24"/>
        </w:rPr>
        <w:t>гг.</w:t>
      </w:r>
      <w:r w:rsidR="00173EB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>– Демография – Международная интеграция – Внешняя торговля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BD0C9E" w:rsidRPr="005D3214" w:rsidRDefault="00173EB4" w:rsidP="00BD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D3214" w:rsidRPr="005D3214">
        <w:rPr>
          <w:rFonts w:ascii="Times New Roman" w:hAnsi="Times New Roman" w:cs="Times New Roman"/>
          <w:sz w:val="24"/>
          <w:szCs w:val="24"/>
        </w:rPr>
        <w:t xml:space="preserve">. </w:t>
      </w:r>
      <w:r w:rsidR="00BD0C9E" w:rsidRPr="005D3214">
        <w:rPr>
          <w:rFonts w:ascii="Times New Roman" w:hAnsi="Times New Roman" w:cs="Times New Roman"/>
          <w:sz w:val="24"/>
          <w:szCs w:val="24"/>
        </w:rPr>
        <w:t>Патрахина, Т. Н.</w:t>
      </w:r>
    </w:p>
    <w:p w:rsidR="00BD0C9E" w:rsidRPr="005D3214" w:rsidRDefault="00BD0C9E" w:rsidP="00BD0C9E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Современные тенденции развития финансовой грамотности в России / Т. Н. Патрахина // Дискуссия. – 2016. – № 9. – С. 26-30</w:t>
      </w:r>
    </w:p>
    <w:p w:rsidR="00BD0C9E" w:rsidRPr="005D3214" w:rsidRDefault="00BD0C9E" w:rsidP="00BD0C9E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–Финансовое образование – Долгосрочные перспективы – Зарубежные страны – Проекты     </w:t>
      </w:r>
    </w:p>
    <w:p w:rsidR="00BD0C9E" w:rsidRDefault="00BD0C9E" w:rsidP="005D3214">
      <w:pPr>
        <w:rPr>
          <w:rFonts w:ascii="Times New Roman" w:hAnsi="Times New Roman" w:cs="Times New Roman"/>
          <w:sz w:val="24"/>
          <w:szCs w:val="24"/>
        </w:rPr>
      </w:pPr>
    </w:p>
    <w:p w:rsidR="00BD0C9E" w:rsidRDefault="00BD0C9E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73EB4">
        <w:rPr>
          <w:rFonts w:ascii="Times New Roman" w:hAnsi="Times New Roman" w:cs="Times New Roman"/>
          <w:sz w:val="24"/>
          <w:szCs w:val="24"/>
        </w:rPr>
        <w:t>4</w:t>
      </w:r>
      <w:r w:rsidRPr="005D3214">
        <w:rPr>
          <w:rFonts w:ascii="Times New Roman" w:hAnsi="Times New Roman" w:cs="Times New Roman"/>
          <w:sz w:val="24"/>
          <w:szCs w:val="24"/>
        </w:rPr>
        <w:t>. Морозов,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Среднего класса больше нет: люди потеряли сбережения в банках и обратились в микрофинансовые организации / А. Морозов // Финансовая газета. – 2017. – 12 января (№ 1). – С. 1, 13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Россияне перестают пользоваться кредитными картами банков. Исследование о просрочках платежей.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Финансовый сектор экономики – Кредитные карты – Задолженности – Социологические исследования </w:t>
      </w:r>
      <w:r w:rsidR="00173EB4">
        <w:rPr>
          <w:rFonts w:ascii="Times New Roman" w:hAnsi="Times New Roman" w:cs="Times New Roman"/>
          <w:sz w:val="24"/>
          <w:szCs w:val="24"/>
        </w:rPr>
        <w:t>за</w:t>
      </w:r>
      <w:r w:rsidRPr="005D3214">
        <w:rPr>
          <w:rFonts w:ascii="Times New Roman" w:hAnsi="Times New Roman" w:cs="Times New Roman"/>
          <w:sz w:val="24"/>
          <w:szCs w:val="24"/>
        </w:rPr>
        <w:t xml:space="preserve"> 2015-2016</w:t>
      </w:r>
      <w:r w:rsidR="00173EB4">
        <w:rPr>
          <w:rFonts w:ascii="Times New Roman" w:hAnsi="Times New Roman" w:cs="Times New Roman"/>
          <w:sz w:val="24"/>
          <w:szCs w:val="24"/>
        </w:rPr>
        <w:t>гг.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D3214" w:rsidRPr="005D3214">
        <w:rPr>
          <w:rFonts w:ascii="Times New Roman" w:hAnsi="Times New Roman" w:cs="Times New Roman"/>
          <w:sz w:val="24"/>
          <w:szCs w:val="24"/>
        </w:rPr>
        <w:t>. Хачатуров,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Почему у нас не будет пенсий? / А. Хачатуров // Новая газета. – 2016. – 25 ноября (№ 132). – С. 10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Российская система социального обеспечения.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– Пенсионная система</w:t>
      </w:r>
      <w:r w:rsidR="00173EB4">
        <w:rPr>
          <w:rFonts w:ascii="Times New Roman" w:hAnsi="Times New Roman" w:cs="Times New Roman"/>
          <w:sz w:val="24"/>
          <w:szCs w:val="24"/>
        </w:rPr>
        <w:t xml:space="preserve"> </w:t>
      </w:r>
      <w:r w:rsidRPr="005D3214">
        <w:rPr>
          <w:rFonts w:ascii="Times New Roman" w:hAnsi="Times New Roman" w:cs="Times New Roman"/>
          <w:sz w:val="24"/>
          <w:szCs w:val="24"/>
        </w:rPr>
        <w:t>– Перспектив</w:t>
      </w:r>
      <w:r w:rsidR="00173EB4">
        <w:rPr>
          <w:rFonts w:ascii="Times New Roman" w:hAnsi="Times New Roman" w:cs="Times New Roman"/>
          <w:sz w:val="24"/>
          <w:szCs w:val="24"/>
        </w:rPr>
        <w:t>ы развития – Пенсионные реформы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D3214" w:rsidRPr="005D3214">
        <w:rPr>
          <w:rFonts w:ascii="Times New Roman" w:hAnsi="Times New Roman" w:cs="Times New Roman"/>
          <w:sz w:val="24"/>
          <w:szCs w:val="24"/>
        </w:rPr>
        <w:t>. Абу Бакр Фарид, А.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Политика финансовой репрессии: международный опыт / А. А. Абу Бакр Фарид // Финансы и Кредит. – 2016. – № 47. – С. 15-26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2</w:t>
      </w:r>
      <w:r w:rsidR="00173EB4">
        <w:rPr>
          <w:rFonts w:ascii="Times New Roman" w:hAnsi="Times New Roman" w:cs="Times New Roman"/>
          <w:sz w:val="24"/>
          <w:szCs w:val="24"/>
        </w:rPr>
        <w:t>7</w:t>
      </w:r>
      <w:r w:rsidRPr="005D3214">
        <w:rPr>
          <w:rFonts w:ascii="Times New Roman" w:hAnsi="Times New Roman" w:cs="Times New Roman"/>
          <w:sz w:val="24"/>
          <w:szCs w:val="24"/>
        </w:rPr>
        <w:t>. Бобоназарова, Ж.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Роль малого бизнеса и частного предпринимательства в обеспечении занятости женщин в Узбекистане / Ж. Бобоназарова // Общество и экономика. – 2016. – № 12. – С. 36-45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D3214" w:rsidRPr="005D3214">
        <w:rPr>
          <w:rFonts w:ascii="Times New Roman" w:hAnsi="Times New Roman" w:cs="Times New Roman"/>
          <w:sz w:val="24"/>
          <w:szCs w:val="24"/>
        </w:rPr>
        <w:t>. Бурлачков, В. К.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Современная процентная политика центральных банков и феномен отрицательных процентных ставок / В. К. Бурлачков // Финансы и Кредит. – 2016. – № 47. – С. 2-14</w:t>
      </w:r>
    </w:p>
    <w:p w:rsid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D3214" w:rsidRPr="005D3214">
        <w:rPr>
          <w:rFonts w:ascii="Times New Roman" w:hAnsi="Times New Roman" w:cs="Times New Roman"/>
          <w:sz w:val="24"/>
          <w:szCs w:val="24"/>
        </w:rPr>
        <w:t>. Ваганов, А. Г.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Термодинамика миграционных кризисов / А. Г. Ваганов // Энергия: экономика, техника, экология. – 2016. – № 11. – С. 56-61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Миграция в Европе.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Миграция – Кризисы – Международные отношения – Социологический анализ</w:t>
      </w: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5D3214" w:rsidRPr="005D3214">
        <w:rPr>
          <w:rFonts w:ascii="Times New Roman" w:hAnsi="Times New Roman" w:cs="Times New Roman"/>
          <w:sz w:val="24"/>
          <w:szCs w:val="24"/>
        </w:rPr>
        <w:t>. Дегтева, Л. В.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Интеграция трудового потенциала инвалидов в экономику страны: проблемы и перспективы / Л. В. Дегтева // Социально-гуманитарные знания. – 2016. – № 6. – С. 224-228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Проблемы трудоустройства инвалидов.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D3214" w:rsidRPr="005D3214">
        <w:rPr>
          <w:rFonts w:ascii="Times New Roman" w:hAnsi="Times New Roman" w:cs="Times New Roman"/>
          <w:sz w:val="24"/>
          <w:szCs w:val="24"/>
        </w:rPr>
        <w:t>. Котляров, И.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Феномен виртуальных потребительских кооперативов / И. Котляров // Общество и экономика. – 2016. – № 12. – С. 75-82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В статье рассматривается феномен виртуального потребительского кооператива как специфической сетевой формы организации потребителей. Описаны различные формы таких кооперативов. Отмечены риски участия в них.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D3214" w:rsidRPr="005D3214">
        <w:rPr>
          <w:rFonts w:ascii="Times New Roman" w:hAnsi="Times New Roman" w:cs="Times New Roman"/>
          <w:sz w:val="24"/>
          <w:szCs w:val="24"/>
        </w:rPr>
        <w:t>. Седлов,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Смена миграционной парадигмы в странах ЕС и в России / А. Седлов // Общество и экономика. – 2016. – № 12. – С. 18-27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D3214" w:rsidRPr="005D3214">
        <w:rPr>
          <w:rFonts w:ascii="Times New Roman" w:hAnsi="Times New Roman" w:cs="Times New Roman"/>
          <w:sz w:val="24"/>
          <w:szCs w:val="24"/>
        </w:rPr>
        <w:t>. Слепов, В.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Роль персональных финансов в развитии российской экономики / В. А. Слепов, С. А. Бондарева // Финансы и Кредит. – 2016. – № 48. – С. 2-17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В развитых странах важную роль в финансировании инновационных и инфраструктурных проектов играют персональные финансы. В связи с этим возникает необходимость их исследования и возможностей использования их потенциала для реализации инновационной модели российской экономики. Персональные финансы имеют значительный ресурсный потенциал. Необходима разработка эффективных инструментов стимулирования персональных инвестиций в человеческий капитал, ценные бумаги и инновационное предпринимательство.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D3214" w:rsidRPr="005D3214">
        <w:rPr>
          <w:rFonts w:ascii="Times New Roman" w:hAnsi="Times New Roman" w:cs="Times New Roman"/>
          <w:sz w:val="24"/>
          <w:szCs w:val="24"/>
        </w:rPr>
        <w:t>. Тётушкин, В.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Оценка конкуренции в российском бизнесе в неблагоприятных экономических условиях / В. А. Тётушкин // Финансы и Кредит. – 2016. – № 48. – С. 46-64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244032" w:rsidRDefault="00244032" w:rsidP="005D3214">
      <w:pPr>
        <w:rPr>
          <w:rFonts w:ascii="Times New Roman" w:hAnsi="Times New Roman" w:cs="Times New Roman"/>
          <w:sz w:val="24"/>
          <w:szCs w:val="24"/>
        </w:rPr>
      </w:pPr>
    </w:p>
    <w:p w:rsidR="00244032" w:rsidRDefault="00244032" w:rsidP="005D3214">
      <w:pPr>
        <w:rPr>
          <w:rFonts w:ascii="Times New Roman" w:hAnsi="Times New Roman" w:cs="Times New Roman"/>
          <w:sz w:val="24"/>
          <w:szCs w:val="24"/>
        </w:rPr>
      </w:pPr>
    </w:p>
    <w:p w:rsidR="00244032" w:rsidRDefault="00173EB4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5D3214" w:rsidRPr="005D3214">
        <w:rPr>
          <w:rFonts w:ascii="Times New Roman" w:hAnsi="Times New Roman" w:cs="Times New Roman"/>
          <w:sz w:val="24"/>
          <w:szCs w:val="24"/>
        </w:rPr>
        <w:t>. Федорова, Е.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Влияние ПИИ на эффективность деятельности российских компаний после введения санкций / Е. Федорова, А. Николаев // Общество и экономика. – 2016. – № 12. – С. 65-74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>3</w:t>
      </w:r>
      <w:r w:rsidR="00173EB4">
        <w:rPr>
          <w:rFonts w:ascii="Times New Roman" w:hAnsi="Times New Roman" w:cs="Times New Roman"/>
          <w:sz w:val="24"/>
          <w:szCs w:val="24"/>
        </w:rPr>
        <w:t>6</w:t>
      </w:r>
      <w:r w:rsidRPr="005D3214">
        <w:rPr>
          <w:rFonts w:ascii="Times New Roman" w:hAnsi="Times New Roman" w:cs="Times New Roman"/>
          <w:sz w:val="24"/>
          <w:szCs w:val="24"/>
        </w:rPr>
        <w:t>. Хейфец, Б.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Антиофшорная политика международного сообщества: реакция на "панамские документы" / Б. Хейфец // Общество и экономика. – 2016. – № 12. – С. 5-17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BD0C9E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D3214" w:rsidRPr="005D3214">
        <w:rPr>
          <w:rFonts w:ascii="Times New Roman" w:hAnsi="Times New Roman" w:cs="Times New Roman"/>
          <w:sz w:val="24"/>
          <w:szCs w:val="24"/>
        </w:rPr>
        <w:t>. Яшин, С. Н.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Применение методики оценки эффективности инновационного развития предприятия на примере ПАО "Русполимет" / С. Н. Яшин, С. Д. Щекотурова // Финансы и Кредит. – 2016. – № 47. – С. 15-26</w:t>
      </w:r>
    </w:p>
    <w:p w:rsidR="005D3214" w:rsidRPr="005D3214" w:rsidRDefault="005D3214" w:rsidP="00BD0C9E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14" w:rsidRPr="005D3214" w:rsidRDefault="00BD0C9E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D3214" w:rsidRPr="005D3214">
        <w:rPr>
          <w:rFonts w:ascii="Times New Roman" w:hAnsi="Times New Roman" w:cs="Times New Roman"/>
          <w:sz w:val="24"/>
          <w:szCs w:val="24"/>
        </w:rPr>
        <w:t>. Аглямов, Р. Р.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Модель оценки инновационного потенциала промышленного предприятия / Р. Р. Аглямов // Дискуссия. – 2016. – № 10. – С. 6-13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BD0C9E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D3214" w:rsidRPr="005D3214">
        <w:rPr>
          <w:rFonts w:ascii="Times New Roman" w:hAnsi="Times New Roman" w:cs="Times New Roman"/>
          <w:sz w:val="24"/>
          <w:szCs w:val="24"/>
        </w:rPr>
        <w:t>. Афонькина, Ю.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Методологические основания исследования социальной инклюзии лиц с инвалидностью / Ю. А. Афонькина // Дискуссия. – 2016. – № 9. – С. 44-49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В статье предложено рассмотрение проблемы социальной инклюзии лиц с инвалидностью в новом контексте: как процесса, обусловленного совокупностью внешних и внутренних факторов. Предложенная автором система методологических оснований может составить базу исследований проблем лиц с инвалидностью в новой научной парадигме, предполагающей актуализацию таких значимых аспектов социальной инклюзии, как побуждение к независимой жизни и проявление социальной субъективности.</w:t>
      </w:r>
    </w:p>
    <w:p w:rsidR="00BD0C9E" w:rsidRPr="005D3214" w:rsidRDefault="00BD0C9E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BD0C9E" w:rsidP="005D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D3214" w:rsidRPr="005D3214">
        <w:rPr>
          <w:rFonts w:ascii="Times New Roman" w:hAnsi="Times New Roman" w:cs="Times New Roman"/>
          <w:sz w:val="24"/>
          <w:szCs w:val="24"/>
        </w:rPr>
        <w:t>. Коган, Е. А.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Студенческая молодёжь в условиях социальной напряжённости / Е. А. Коган // Дискуссия. – 2016. – № 9. – С. 50-55</w:t>
      </w:r>
    </w:p>
    <w:p w:rsid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244032" w:rsidRPr="005D3214" w:rsidRDefault="00244032" w:rsidP="005D3214">
      <w:pPr>
        <w:rPr>
          <w:rFonts w:ascii="Times New Roman" w:hAnsi="Times New Roman" w:cs="Times New Roman"/>
          <w:sz w:val="24"/>
          <w:szCs w:val="24"/>
        </w:rPr>
      </w:pP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D0C9E">
        <w:rPr>
          <w:rFonts w:ascii="Times New Roman" w:hAnsi="Times New Roman" w:cs="Times New Roman"/>
          <w:sz w:val="24"/>
          <w:szCs w:val="24"/>
        </w:rPr>
        <w:t>1</w:t>
      </w:r>
      <w:r w:rsidRPr="005D3214">
        <w:rPr>
          <w:rFonts w:ascii="Times New Roman" w:hAnsi="Times New Roman" w:cs="Times New Roman"/>
          <w:sz w:val="24"/>
          <w:szCs w:val="24"/>
        </w:rPr>
        <w:t>. Маслюкова, Е. В.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Эконометрическое моделирование взаимосвязи ресурсной обеспеченности и экономического роста региона / Е. В. Маслюкова, А. В. Хорсова // Дискуссия. – 2016. – № 10. – С. 30-34</w:t>
      </w:r>
    </w:p>
    <w:p w:rsidR="005D3214" w:rsidRPr="005D3214" w:rsidRDefault="005D3214" w:rsidP="005D3214">
      <w:pPr>
        <w:rPr>
          <w:rFonts w:ascii="Times New Roman" w:hAnsi="Times New Roman" w:cs="Times New Roman"/>
          <w:sz w:val="24"/>
          <w:szCs w:val="24"/>
        </w:rPr>
      </w:pPr>
    </w:p>
    <w:p w:rsidR="00BD0C9E" w:rsidRPr="005D3214" w:rsidRDefault="00BD0C9E" w:rsidP="00BD0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D3214" w:rsidRPr="005D3214">
        <w:rPr>
          <w:rFonts w:ascii="Times New Roman" w:hAnsi="Times New Roman" w:cs="Times New Roman"/>
          <w:sz w:val="24"/>
          <w:szCs w:val="24"/>
        </w:rPr>
        <w:t xml:space="preserve">. </w:t>
      </w:r>
      <w:r w:rsidRPr="005D3214">
        <w:rPr>
          <w:rFonts w:ascii="Times New Roman" w:hAnsi="Times New Roman" w:cs="Times New Roman"/>
          <w:sz w:val="24"/>
          <w:szCs w:val="24"/>
        </w:rPr>
        <w:t>Морозов, А.</w:t>
      </w:r>
    </w:p>
    <w:p w:rsidR="00BD0C9E" w:rsidRPr="005D3214" w:rsidRDefault="00BD0C9E" w:rsidP="00BD0C9E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   Взгляд на пенсионеров как на пионеров: почему исследователи ждут от пожилых того же экономического поведения, что и от молодых / А. Морозов // Финансовая газета. – 2017. – 12 января (№ 1). – С. 14-15</w:t>
      </w:r>
    </w:p>
    <w:p w:rsidR="001A1974" w:rsidRDefault="00BD0C9E" w:rsidP="00BD0C9E">
      <w:pPr>
        <w:rPr>
          <w:rFonts w:ascii="Times New Roman" w:hAnsi="Times New Roman" w:cs="Times New Roman"/>
          <w:sz w:val="24"/>
          <w:szCs w:val="24"/>
        </w:rPr>
      </w:pPr>
      <w:r w:rsidRPr="005D3214">
        <w:rPr>
          <w:rFonts w:ascii="Times New Roman" w:hAnsi="Times New Roman" w:cs="Times New Roman"/>
          <w:sz w:val="24"/>
          <w:szCs w:val="24"/>
        </w:rPr>
        <w:t xml:space="preserve"> – Традиционный маркетинг считает пожилых сложной потребительской аудиторией, однако, рынок, состоящий из потребителей-стариков, выглядит более стабильным, "требовательным" и качественным. Но экономисты чаще смотрят на проблему старения, именно как на проблему, не замечая выгод, которая несёт эта новая реальность.</w:t>
      </w:r>
    </w:p>
    <w:p w:rsidR="005856DA" w:rsidRDefault="005856DA" w:rsidP="00BD0C9E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43. Луговая, О. А.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Нестандартные подходы к формированию маркетинговой стратегии региона: зарубежный опыт / О. А. Луговая // Менеджмент в России и за рубежом. – 2016. – № 6. – С. 134-140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– Статья посвящена корпоративному маркетингу территорий и спортивному маркетингу территорий как альтернативному механизму активизации регионального развития и формирования маркетинговой стратегии региона. Подробно рассмотрены опыт и маркетинговая стратегия города Финикса округа Коллиер штата Миссисипи - актуальный пример реализации маркетингового подхода. Предложены модели и механизмы реализации корпоративного маркетинга территории (маркетинг партнёрских отношений) и спортивного маркетинга территорий, внедрения в практику управления российских регионов.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– Российская Федерация – США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6DA">
        <w:rPr>
          <w:rFonts w:ascii="Times New Roman" w:hAnsi="Times New Roman" w:cs="Times New Roman"/>
          <w:sz w:val="24"/>
          <w:szCs w:val="24"/>
        </w:rPr>
        <w:t xml:space="preserve">Греция 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44. Межов, И. С.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Инвестирование инновационных проектов при планировании экономического роста промышленной корпорации / И. С. Межов, О. Б. Дронова, К. А. Мачин // Менеджмент в России и за рубежом. – 2016. – № 6. – С. 61-69</w:t>
      </w:r>
    </w:p>
    <w:p w:rsid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lastRenderedPageBreak/>
        <w:t>45. Михайлов, Д. Л.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Финансовое просвещение: опыт России и Москвы / Д. Л. Михайлов, А. А. Сазонова // Бюджет. – 2016. – № 12. – С. 20-21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– Уровень финансовой грамотности населения в России.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46. Новикова, И.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Оценка динамики изменения инновационного потенциала субъектов федеральных округов / И. Новикова, С. Рудич // Экономист. – 2016. – № 12. – С. 59-78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47. Рассадина, А.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Возрождение промышленности: Россия и страны Запада / А. Рассадина // Экономист. – 2016. – № 12. – С. 17-26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48. Селиверстова, М. М.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Обзор пенсионных реформ стран Содружества Независимых Государств / М. М. Селиверстова // Пенсия. – 2016. – № 12. – С. 40-46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– Пенсионные системы – Республика Азербайджан – Армения – Республика Беларусь – Грузия – Республика Казахстан – Кыргызстан – Республика Молдова – Российская Федерация – Таджикистан – Республика Узбекистан – Пенсионное обеспечение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>49. Семенов, А. В.</w:t>
      </w:r>
    </w:p>
    <w:p w:rsidR="005856DA" w:rsidRPr="005856DA" w:rsidRDefault="005856DA" w:rsidP="005856DA">
      <w:pPr>
        <w:rPr>
          <w:rFonts w:ascii="Times New Roman" w:hAnsi="Times New Roman" w:cs="Times New Roman"/>
          <w:sz w:val="24"/>
          <w:szCs w:val="24"/>
        </w:rPr>
      </w:pPr>
      <w:r w:rsidRPr="005856DA">
        <w:rPr>
          <w:rFonts w:ascii="Times New Roman" w:hAnsi="Times New Roman" w:cs="Times New Roman"/>
          <w:sz w:val="24"/>
          <w:szCs w:val="24"/>
        </w:rPr>
        <w:t xml:space="preserve">    Особенности формирования советов по стратегическому планированию / А. В. Семенов // Менеджмент в России и за рубежом. – 2016. – № 6. – С. 55-60</w:t>
      </w:r>
    </w:p>
    <w:p w:rsidR="005856DA" w:rsidRPr="005856DA" w:rsidRDefault="005856DA" w:rsidP="00BD0C9E">
      <w:pPr>
        <w:rPr>
          <w:rFonts w:ascii="Times New Roman" w:hAnsi="Times New Roman" w:cs="Times New Roman"/>
          <w:sz w:val="24"/>
          <w:szCs w:val="24"/>
        </w:rPr>
      </w:pPr>
    </w:p>
    <w:sectPr w:rsidR="005856DA" w:rsidRPr="005856DA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0430"/>
    <w:rsid w:val="00090430"/>
    <w:rsid w:val="00173EB4"/>
    <w:rsid w:val="001A1974"/>
    <w:rsid w:val="00244032"/>
    <w:rsid w:val="00275E82"/>
    <w:rsid w:val="005856DA"/>
    <w:rsid w:val="005D3214"/>
    <w:rsid w:val="009C6559"/>
    <w:rsid w:val="00BD0C9E"/>
    <w:rsid w:val="00E2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2017-01-26T11:54:00Z</dcterms:created>
  <dcterms:modified xsi:type="dcterms:W3CDTF">2017-01-26T12:18:00Z</dcterms:modified>
</cp:coreProperties>
</file>